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val="0"/>
        <w:shd w:val="clear" w:color="auto" w:fill="auto"/>
        <w:kinsoku/>
        <w:wordWrap/>
        <w:overflowPunct/>
        <w:topLinePunct w:val="0"/>
        <w:autoSpaceDE/>
        <w:autoSpaceDN/>
        <w:bidi w:val="0"/>
        <w:adjustRightInd/>
        <w:snapToGrid/>
        <w:spacing w:before="0" w:line="560" w:lineRule="exact"/>
        <w:ind w:left="0" w:leftChars="0" w:right="0" w:firstLine="0" w:firstLineChars="0"/>
        <w:jc w:val="left"/>
        <w:textAlignment w:val="auto"/>
        <w:rPr>
          <w:rFonts w:hint="eastAsia" w:ascii="仿宋_GB2312" w:hAnsi="仿宋_GB2312" w:eastAsia="仿宋_GB2312" w:cs="仿宋_GB2312"/>
          <w:color w:val="000000"/>
          <w:spacing w:val="0"/>
          <w:w w:val="100"/>
          <w:position w:val="0"/>
          <w:sz w:val="32"/>
          <w:szCs w:val="32"/>
          <w:lang w:val="en-US" w:eastAsia="zh-CN"/>
        </w:rPr>
      </w:pPr>
      <w:r>
        <w:rPr>
          <w:rFonts w:hint="eastAsia" w:ascii="仿宋_GB2312" w:hAnsi="仿宋_GB2312" w:eastAsia="仿宋_GB2312" w:cs="仿宋_GB2312"/>
          <w:color w:val="000000"/>
          <w:spacing w:val="0"/>
          <w:w w:val="100"/>
          <w:position w:val="0"/>
          <w:sz w:val="32"/>
          <w:szCs w:val="32"/>
          <w:lang w:eastAsia="zh-CN"/>
        </w:rPr>
        <w:t>附件</w:t>
      </w:r>
      <w:r>
        <w:rPr>
          <w:rFonts w:hint="eastAsia" w:ascii="仿宋_GB2312" w:hAnsi="仿宋_GB2312" w:eastAsia="仿宋_GB2312" w:cs="仿宋_GB2312"/>
          <w:color w:val="000000"/>
          <w:spacing w:val="0"/>
          <w:w w:val="100"/>
          <w:position w:val="0"/>
          <w:sz w:val="32"/>
          <w:szCs w:val="32"/>
          <w:lang w:val="en-US" w:eastAsia="zh-CN"/>
        </w:rPr>
        <w:t>1：</w:t>
      </w:r>
    </w:p>
    <w:p>
      <w:pPr>
        <w:pStyle w:val="4"/>
        <w:keepNext w:val="0"/>
        <w:keepLines w:val="0"/>
        <w:pageBreakBefore w:val="0"/>
        <w:widowControl w:val="0"/>
        <w:shd w:val="clear" w:color="auto" w:fill="auto"/>
        <w:kinsoku/>
        <w:wordWrap/>
        <w:overflowPunct/>
        <w:topLinePunct w:val="0"/>
        <w:autoSpaceDE/>
        <w:autoSpaceDN/>
        <w:bidi w:val="0"/>
        <w:adjustRightInd/>
        <w:snapToGrid/>
        <w:spacing w:before="0" w:line="560" w:lineRule="exact"/>
        <w:ind w:right="0" w:firstLine="1568" w:firstLineChars="490"/>
        <w:jc w:val="both"/>
        <w:textAlignment w:val="auto"/>
        <w:rPr>
          <w:rFonts w:hint="eastAsia" w:ascii="仿宋_GB2312" w:hAnsi="仿宋_GB2312" w:eastAsia="仿宋_GB2312" w:cs="仿宋_GB2312"/>
          <w:color w:val="000000"/>
          <w:spacing w:val="0"/>
          <w:w w:val="100"/>
          <w:position w:val="0"/>
          <w:sz w:val="32"/>
          <w:szCs w:val="32"/>
        </w:rPr>
      </w:pPr>
      <w:r>
        <w:rPr>
          <w:rFonts w:hint="eastAsia" w:ascii="仿宋_GB2312" w:hAnsi="仿宋_GB2312" w:eastAsia="仿宋_GB2312" w:cs="仿宋_GB2312"/>
          <w:color w:val="000000"/>
          <w:spacing w:val="0"/>
          <w:w w:val="100"/>
          <w:position w:val="0"/>
          <w:sz w:val="32"/>
          <w:szCs w:val="32"/>
        </w:rPr>
        <w:t>2021年BEYOND国际科技创新博览会简介</w:t>
      </w:r>
    </w:p>
    <w:p>
      <w:pPr>
        <w:pStyle w:val="4"/>
        <w:keepNext w:val="0"/>
        <w:keepLines w:val="0"/>
        <w:pageBreakBefore w:val="0"/>
        <w:widowControl w:val="0"/>
        <w:shd w:val="clear" w:color="auto" w:fill="auto"/>
        <w:kinsoku/>
        <w:wordWrap/>
        <w:overflowPunct/>
        <w:topLinePunct w:val="0"/>
        <w:autoSpaceDE/>
        <w:autoSpaceDN/>
        <w:bidi w:val="0"/>
        <w:adjustRightInd/>
        <w:snapToGrid/>
        <w:spacing w:before="0" w:line="560" w:lineRule="exact"/>
        <w:ind w:left="0" w:right="0" w:firstLine="780"/>
        <w:jc w:val="left"/>
        <w:textAlignment w:val="auto"/>
        <w:rPr>
          <w:rFonts w:hint="eastAsia" w:ascii="仿宋_GB2312" w:hAnsi="仿宋_GB2312" w:eastAsia="仿宋_GB2312" w:cs="仿宋_GB2312"/>
          <w:color w:val="000000"/>
          <w:spacing w:val="0"/>
          <w:w w:val="100"/>
          <w:position w:val="0"/>
          <w:sz w:val="32"/>
          <w:szCs w:val="32"/>
        </w:rPr>
      </w:pPr>
      <w:r>
        <w:rPr>
          <w:rFonts w:hint="eastAsia" w:ascii="仿宋_GB2312" w:hAnsi="仿宋_GB2312" w:eastAsia="仿宋_GB2312" w:cs="仿宋_GB2312"/>
          <w:color w:val="000000"/>
          <w:spacing w:val="0"/>
          <w:w w:val="100"/>
          <w:position w:val="0"/>
          <w:sz w:val="32"/>
          <w:szCs w:val="32"/>
        </w:rPr>
        <w:t>BEYOND国际科技创新博览会由澳门科技总会主办，澳门贸促局、粤港澳大湾区企业家联盟、京澳经济文化促进会等单位联合支持，展会将吸引全球超过1000家世界五百强、大型跨国企业、独角兽创新企业以及新型初创企业展商参与，预计届时将有2万名专业观众到场观展，更有超过一百家国内外企业和驻华办事处组团参观。从企业、产品、资本、产业等全方位融合互动，共同促进亚太甚至全球的科技创新行业发展。</w:t>
      </w:r>
    </w:p>
    <w:p>
      <w:pPr>
        <w:pStyle w:val="4"/>
        <w:keepNext w:val="0"/>
        <w:keepLines w:val="0"/>
        <w:pageBreakBefore w:val="0"/>
        <w:widowControl w:val="0"/>
        <w:shd w:val="clear" w:color="auto" w:fill="auto"/>
        <w:kinsoku/>
        <w:wordWrap/>
        <w:overflowPunct/>
        <w:topLinePunct w:val="0"/>
        <w:autoSpaceDE/>
        <w:autoSpaceDN/>
        <w:bidi w:val="0"/>
        <w:adjustRightInd/>
        <w:snapToGrid/>
        <w:spacing w:before="0" w:line="560" w:lineRule="exact"/>
        <w:ind w:left="0" w:right="0" w:firstLine="780"/>
        <w:jc w:val="left"/>
        <w:textAlignment w:val="auto"/>
        <w:rPr>
          <w:rFonts w:hint="eastAsia" w:ascii="仿宋_GB2312" w:hAnsi="仿宋_GB2312" w:eastAsia="仿宋_GB2312" w:cs="仿宋_GB2312"/>
          <w:color w:val="000000"/>
          <w:spacing w:val="0"/>
          <w:w w:val="100"/>
          <w:position w:val="0"/>
          <w:sz w:val="32"/>
          <w:szCs w:val="32"/>
        </w:rPr>
      </w:pPr>
      <w:r>
        <w:rPr>
          <w:rFonts w:hint="eastAsia" w:ascii="仿宋_GB2312" w:hAnsi="仿宋_GB2312" w:eastAsia="仿宋_GB2312" w:cs="仿宋_GB2312"/>
          <w:color w:val="000000"/>
          <w:spacing w:val="0"/>
          <w:w w:val="100"/>
          <w:position w:val="0"/>
          <w:sz w:val="32"/>
          <w:szCs w:val="32"/>
        </w:rPr>
        <w:t>BEYOND EXPO的焦点是科技创新及其对社会各行业的影响 力，不仅吸引了科技行业企业，更吸引到金融、房地产、医疗、 农业、制造业、体育等等头部领军企业的参与，包括阿里巴巴集团、澳门中银、创梦天地、德勤、复星集团，工银澳门、汇丰银行，海康威视、华润集团、华为、华西医院、极飞、极米科技、普洛斯、雀巢、柔宇、商汤科技，西湖大学、亿航、英雄体育、中国建筑国际、中国太平、浙江大学、字节跳动等。</w:t>
      </w:r>
    </w:p>
    <w:p>
      <w:pPr>
        <w:pStyle w:val="4"/>
        <w:keepNext w:val="0"/>
        <w:keepLines w:val="0"/>
        <w:pageBreakBefore w:val="0"/>
        <w:widowControl w:val="0"/>
        <w:shd w:val="clear" w:color="auto" w:fill="auto"/>
        <w:kinsoku/>
        <w:wordWrap/>
        <w:overflowPunct/>
        <w:topLinePunct w:val="0"/>
        <w:autoSpaceDE/>
        <w:autoSpaceDN/>
        <w:bidi w:val="0"/>
        <w:adjustRightInd/>
        <w:snapToGrid/>
        <w:spacing w:before="0" w:line="560" w:lineRule="exact"/>
        <w:ind w:left="0" w:right="0" w:firstLine="780"/>
        <w:jc w:val="left"/>
        <w:textAlignment w:val="auto"/>
        <w:rPr>
          <w:rFonts w:hint="eastAsia" w:ascii="仿宋_GB2312" w:hAnsi="仿宋_GB2312" w:eastAsia="仿宋_GB2312" w:cs="仿宋_GB2312"/>
          <w:color w:val="000000"/>
          <w:spacing w:val="0"/>
          <w:w w:val="100"/>
          <w:position w:val="0"/>
          <w:sz w:val="32"/>
          <w:szCs w:val="32"/>
        </w:rPr>
      </w:pPr>
      <w:r>
        <w:rPr>
          <w:rFonts w:hint="eastAsia" w:ascii="仿宋_GB2312" w:hAnsi="仿宋_GB2312" w:eastAsia="仿宋_GB2312" w:cs="仿宋_GB2312"/>
          <w:color w:val="000000"/>
          <w:spacing w:val="0"/>
          <w:w w:val="100"/>
          <w:position w:val="0"/>
          <w:sz w:val="32"/>
          <w:szCs w:val="32"/>
        </w:rPr>
        <w:t>活动一：开幕式及个分会场论坛</w:t>
      </w:r>
    </w:p>
    <w:p>
      <w:pPr>
        <w:pStyle w:val="4"/>
        <w:keepNext w:val="0"/>
        <w:keepLines w:val="0"/>
        <w:pageBreakBefore w:val="0"/>
        <w:widowControl w:val="0"/>
        <w:shd w:val="clear" w:color="auto" w:fill="auto"/>
        <w:kinsoku/>
        <w:wordWrap/>
        <w:overflowPunct/>
        <w:topLinePunct w:val="0"/>
        <w:autoSpaceDE/>
        <w:autoSpaceDN/>
        <w:bidi w:val="0"/>
        <w:adjustRightInd/>
        <w:snapToGrid/>
        <w:spacing w:before="0" w:line="560" w:lineRule="exact"/>
        <w:ind w:left="0" w:right="0" w:firstLine="780"/>
        <w:jc w:val="left"/>
        <w:textAlignment w:val="auto"/>
        <w:rPr>
          <w:rFonts w:hint="eastAsia" w:ascii="仿宋_GB2312" w:hAnsi="仿宋_GB2312" w:eastAsia="仿宋_GB2312" w:cs="仿宋_GB2312"/>
          <w:color w:val="000000"/>
          <w:spacing w:val="0"/>
          <w:w w:val="100"/>
          <w:position w:val="0"/>
          <w:sz w:val="32"/>
          <w:szCs w:val="32"/>
        </w:rPr>
      </w:pPr>
      <w:r>
        <w:rPr>
          <w:rFonts w:hint="eastAsia" w:ascii="仿宋_GB2312" w:hAnsi="仿宋_GB2312" w:eastAsia="仿宋_GB2312" w:cs="仿宋_GB2312"/>
          <w:color w:val="000000"/>
          <w:spacing w:val="0"/>
          <w:w w:val="100"/>
          <w:position w:val="0"/>
          <w:sz w:val="32"/>
          <w:szCs w:val="32"/>
        </w:rPr>
        <w:t>展会期间将举办高规格开幕式、行业分论坛，还有各种交流活动，预计会有超过2万名来自世界各地的专业观众，包括企业家、政府代表、知名人士、投资人、科学家、初创企业等公司来到现场。</w:t>
      </w:r>
    </w:p>
    <w:p>
      <w:pPr>
        <w:pStyle w:val="4"/>
        <w:keepNext w:val="0"/>
        <w:keepLines w:val="0"/>
        <w:pageBreakBefore w:val="0"/>
        <w:widowControl w:val="0"/>
        <w:shd w:val="clear" w:color="auto" w:fill="auto"/>
        <w:kinsoku/>
        <w:wordWrap/>
        <w:overflowPunct/>
        <w:topLinePunct w:val="0"/>
        <w:autoSpaceDE/>
        <w:autoSpaceDN/>
        <w:bidi w:val="0"/>
        <w:adjustRightInd/>
        <w:snapToGrid/>
        <w:spacing w:before="0" w:line="560" w:lineRule="exact"/>
        <w:ind w:left="0" w:right="0" w:firstLine="780"/>
        <w:jc w:val="left"/>
        <w:textAlignment w:val="auto"/>
        <w:rPr>
          <w:rFonts w:hint="eastAsia" w:ascii="仿宋_GB2312" w:hAnsi="仿宋_GB2312" w:eastAsia="仿宋_GB2312" w:cs="仿宋_GB2312"/>
          <w:color w:val="000000"/>
          <w:spacing w:val="0"/>
          <w:w w:val="100"/>
          <w:position w:val="0"/>
          <w:sz w:val="32"/>
          <w:szCs w:val="32"/>
        </w:rPr>
      </w:pPr>
      <w:r>
        <w:rPr>
          <w:rFonts w:hint="eastAsia" w:ascii="仿宋_GB2312" w:hAnsi="仿宋_GB2312" w:eastAsia="仿宋_GB2312" w:cs="仿宋_GB2312"/>
          <w:color w:val="000000"/>
          <w:spacing w:val="0"/>
          <w:w w:val="100"/>
          <w:position w:val="0"/>
          <w:sz w:val="32"/>
          <w:szCs w:val="32"/>
        </w:rPr>
        <w:t>活动二：BEYOND投融资峰会论坛</w:t>
      </w:r>
    </w:p>
    <w:p>
      <w:pPr>
        <w:pStyle w:val="4"/>
        <w:keepNext w:val="0"/>
        <w:keepLines w:val="0"/>
        <w:pageBreakBefore w:val="0"/>
        <w:widowControl w:val="0"/>
        <w:shd w:val="clear" w:color="auto" w:fill="auto"/>
        <w:kinsoku/>
        <w:wordWrap/>
        <w:overflowPunct/>
        <w:topLinePunct w:val="0"/>
        <w:autoSpaceDE/>
        <w:autoSpaceDN/>
        <w:bidi w:val="0"/>
        <w:adjustRightInd/>
        <w:snapToGrid/>
        <w:spacing w:before="0" w:line="560" w:lineRule="exact"/>
        <w:ind w:left="0" w:right="0" w:firstLine="780"/>
        <w:jc w:val="left"/>
        <w:textAlignment w:val="auto"/>
        <w:rPr>
          <w:rFonts w:hint="eastAsia" w:ascii="仿宋_GB2312" w:hAnsi="仿宋_GB2312" w:eastAsia="仿宋_GB2312" w:cs="仿宋_GB2312"/>
          <w:color w:val="000000"/>
          <w:spacing w:val="0"/>
          <w:w w:val="100"/>
          <w:position w:val="0"/>
          <w:sz w:val="32"/>
          <w:szCs w:val="32"/>
        </w:rPr>
      </w:pPr>
      <w:r>
        <w:rPr>
          <w:rFonts w:hint="eastAsia" w:ascii="仿宋_GB2312" w:hAnsi="仿宋_GB2312" w:eastAsia="仿宋_GB2312" w:cs="仿宋_GB2312"/>
          <w:color w:val="000000"/>
          <w:spacing w:val="0"/>
          <w:w w:val="100"/>
          <w:position w:val="0"/>
          <w:sz w:val="32"/>
          <w:szCs w:val="32"/>
        </w:rPr>
        <w:t>活动简介：BEYOND国际投融资峰会将围绕全球投资新趋势，Corporate VC(CVC),跨境投资，私募市场，主权基金等话题展开讨论和分享。</w:t>
      </w:r>
    </w:p>
    <w:p>
      <w:pPr>
        <w:pStyle w:val="4"/>
        <w:keepNext w:val="0"/>
        <w:keepLines w:val="0"/>
        <w:pageBreakBefore w:val="0"/>
        <w:widowControl w:val="0"/>
        <w:shd w:val="clear" w:color="auto" w:fill="auto"/>
        <w:kinsoku/>
        <w:wordWrap/>
        <w:overflowPunct/>
        <w:topLinePunct w:val="0"/>
        <w:autoSpaceDE/>
        <w:autoSpaceDN/>
        <w:bidi w:val="0"/>
        <w:adjustRightInd/>
        <w:snapToGrid/>
        <w:spacing w:before="0" w:line="560" w:lineRule="exact"/>
        <w:ind w:left="0" w:right="0" w:firstLine="780"/>
        <w:jc w:val="left"/>
        <w:textAlignment w:val="auto"/>
        <w:rPr>
          <w:rFonts w:hint="eastAsia" w:ascii="仿宋_GB2312" w:hAnsi="仿宋_GB2312" w:eastAsia="仿宋_GB2312" w:cs="仿宋_GB2312"/>
          <w:color w:val="000000"/>
          <w:spacing w:val="0"/>
          <w:w w:val="100"/>
          <w:position w:val="0"/>
          <w:sz w:val="32"/>
          <w:szCs w:val="32"/>
        </w:rPr>
      </w:pPr>
      <w:r>
        <w:rPr>
          <w:rFonts w:hint="eastAsia" w:ascii="仿宋_GB2312" w:hAnsi="仿宋_GB2312" w:eastAsia="仿宋_GB2312" w:cs="仿宋_GB2312"/>
          <w:color w:val="000000"/>
          <w:spacing w:val="0"/>
          <w:w w:val="100"/>
          <w:position w:val="0"/>
          <w:sz w:val="32"/>
          <w:szCs w:val="32"/>
        </w:rPr>
        <w:t>拟邀参与嘉宾：浙江省内一线.投资机构创始合伙人。</w:t>
      </w:r>
    </w:p>
    <w:p>
      <w:pPr>
        <w:pStyle w:val="4"/>
        <w:keepNext w:val="0"/>
        <w:keepLines w:val="0"/>
        <w:pageBreakBefore w:val="0"/>
        <w:widowControl w:val="0"/>
        <w:shd w:val="clear" w:color="auto" w:fill="auto"/>
        <w:kinsoku/>
        <w:wordWrap/>
        <w:overflowPunct/>
        <w:topLinePunct w:val="0"/>
        <w:autoSpaceDE/>
        <w:autoSpaceDN/>
        <w:bidi w:val="0"/>
        <w:adjustRightInd/>
        <w:snapToGrid/>
        <w:spacing w:before="0" w:line="560" w:lineRule="exact"/>
        <w:ind w:left="0" w:right="0" w:firstLine="780"/>
        <w:jc w:val="left"/>
        <w:textAlignment w:val="auto"/>
        <w:rPr>
          <w:rFonts w:hint="eastAsia" w:ascii="仿宋_GB2312" w:hAnsi="仿宋_GB2312" w:eastAsia="仿宋_GB2312" w:cs="仿宋_GB2312"/>
          <w:color w:val="000000"/>
          <w:spacing w:val="0"/>
          <w:w w:val="100"/>
          <w:position w:val="0"/>
          <w:sz w:val="32"/>
          <w:szCs w:val="32"/>
        </w:rPr>
      </w:pPr>
      <w:r>
        <w:rPr>
          <w:rFonts w:hint="eastAsia" w:ascii="仿宋_GB2312" w:hAnsi="仿宋_GB2312" w:eastAsia="仿宋_GB2312" w:cs="仿宋_GB2312"/>
          <w:color w:val="000000"/>
          <w:spacing w:val="0"/>
          <w:w w:val="100"/>
          <w:position w:val="0"/>
          <w:sz w:val="32"/>
          <w:szCs w:val="32"/>
        </w:rPr>
        <w:t>活动三：BEYOND投融资峰会国际资本对接会</w:t>
      </w:r>
    </w:p>
    <w:p>
      <w:pPr>
        <w:pStyle w:val="4"/>
        <w:keepNext w:val="0"/>
        <w:keepLines w:val="0"/>
        <w:pageBreakBefore w:val="0"/>
        <w:widowControl w:val="0"/>
        <w:shd w:val="clear" w:color="auto" w:fill="auto"/>
        <w:kinsoku/>
        <w:wordWrap/>
        <w:overflowPunct/>
        <w:topLinePunct w:val="0"/>
        <w:autoSpaceDE/>
        <w:autoSpaceDN/>
        <w:bidi w:val="0"/>
        <w:adjustRightInd/>
        <w:snapToGrid/>
        <w:spacing w:before="0" w:line="560" w:lineRule="exact"/>
        <w:ind w:left="0" w:right="0" w:firstLine="780"/>
        <w:jc w:val="left"/>
        <w:textAlignment w:val="auto"/>
        <w:rPr>
          <w:rFonts w:hint="eastAsia" w:ascii="仿宋_GB2312" w:hAnsi="仿宋_GB2312" w:eastAsia="仿宋_GB2312" w:cs="仿宋_GB2312"/>
          <w:color w:val="000000"/>
          <w:spacing w:val="0"/>
          <w:w w:val="100"/>
          <w:position w:val="0"/>
          <w:sz w:val="32"/>
          <w:szCs w:val="32"/>
        </w:rPr>
      </w:pPr>
      <w:r>
        <w:rPr>
          <w:rFonts w:hint="eastAsia" w:ascii="仿宋_GB2312" w:hAnsi="仿宋_GB2312" w:eastAsia="仿宋_GB2312" w:cs="仿宋_GB2312"/>
          <w:color w:val="000000"/>
          <w:spacing w:val="0"/>
          <w:w w:val="100"/>
          <w:position w:val="0"/>
          <w:sz w:val="32"/>
          <w:szCs w:val="32"/>
        </w:rPr>
        <w:t>活动简介：“BEYOND国际资本对接会"，将以现场一对一和线上连线的形式同时展开，到场创业者可以根据自身条件去寻找到与之契合的投资机构进行一场面对面的直接交流。</w:t>
      </w:r>
    </w:p>
    <w:p>
      <w:pPr>
        <w:pStyle w:val="4"/>
        <w:keepNext w:val="0"/>
        <w:keepLines w:val="0"/>
        <w:pageBreakBefore w:val="0"/>
        <w:widowControl w:val="0"/>
        <w:shd w:val="clear" w:color="auto" w:fill="auto"/>
        <w:kinsoku/>
        <w:wordWrap/>
        <w:overflowPunct/>
        <w:topLinePunct w:val="0"/>
        <w:autoSpaceDE/>
        <w:autoSpaceDN/>
        <w:bidi w:val="0"/>
        <w:adjustRightInd/>
        <w:snapToGrid/>
        <w:spacing w:before="0" w:line="560" w:lineRule="exact"/>
        <w:ind w:left="0" w:right="0" w:firstLine="780"/>
        <w:jc w:val="left"/>
        <w:textAlignment w:val="auto"/>
        <w:rPr>
          <w:rFonts w:hint="eastAsia" w:ascii="仿宋_GB2312" w:hAnsi="仿宋_GB2312" w:eastAsia="仿宋_GB2312" w:cs="仿宋_GB2312"/>
          <w:color w:val="000000"/>
          <w:spacing w:val="0"/>
          <w:w w:val="100"/>
          <w:position w:val="0"/>
          <w:sz w:val="32"/>
          <w:szCs w:val="32"/>
        </w:rPr>
      </w:pPr>
      <w:r>
        <w:rPr>
          <w:rFonts w:hint="eastAsia" w:ascii="仿宋_GB2312" w:hAnsi="仿宋_GB2312" w:eastAsia="仿宋_GB2312" w:cs="仿宋_GB2312"/>
          <w:color w:val="000000"/>
          <w:spacing w:val="0"/>
          <w:w w:val="100"/>
          <w:position w:val="0"/>
          <w:sz w:val="32"/>
          <w:szCs w:val="32"/>
        </w:rPr>
        <w:t>拟邀参与机构：浙江省内一线投资机构投资人(投资副总裁级别及以上)</w:t>
      </w:r>
    </w:p>
    <w:p>
      <w:pPr>
        <w:pStyle w:val="4"/>
        <w:keepNext w:val="0"/>
        <w:keepLines w:val="0"/>
        <w:pageBreakBefore w:val="0"/>
        <w:widowControl w:val="0"/>
        <w:shd w:val="clear" w:color="auto" w:fill="auto"/>
        <w:kinsoku/>
        <w:wordWrap/>
        <w:overflowPunct/>
        <w:topLinePunct w:val="0"/>
        <w:autoSpaceDE/>
        <w:autoSpaceDN/>
        <w:bidi w:val="0"/>
        <w:adjustRightInd/>
        <w:snapToGrid/>
        <w:spacing w:before="0" w:line="560" w:lineRule="exact"/>
        <w:ind w:left="0" w:right="0" w:firstLine="780"/>
        <w:jc w:val="left"/>
        <w:textAlignment w:val="auto"/>
        <w:rPr>
          <w:rFonts w:hint="eastAsia" w:ascii="仿宋_GB2312" w:hAnsi="仿宋_GB2312" w:eastAsia="仿宋_GB2312" w:cs="仿宋_GB2312"/>
          <w:color w:val="000000"/>
          <w:spacing w:val="0"/>
          <w:w w:val="100"/>
          <w:position w:val="0"/>
          <w:sz w:val="32"/>
          <w:szCs w:val="32"/>
        </w:rPr>
      </w:pPr>
      <w:r>
        <w:rPr>
          <w:rFonts w:hint="eastAsia" w:ascii="仿宋_GB2312" w:hAnsi="仿宋_GB2312" w:eastAsia="仿宋_GB2312" w:cs="仿宋_GB2312"/>
          <w:color w:val="000000"/>
          <w:spacing w:val="0"/>
          <w:w w:val="100"/>
          <w:position w:val="0"/>
          <w:sz w:val="32"/>
          <w:szCs w:val="32"/>
        </w:rPr>
        <w:t>活动四：BEYOND年度大奖(BEYOND Awards)</w:t>
      </w:r>
    </w:p>
    <w:p>
      <w:pPr>
        <w:pStyle w:val="4"/>
        <w:keepNext w:val="0"/>
        <w:keepLines w:val="0"/>
        <w:pageBreakBefore w:val="0"/>
        <w:widowControl w:val="0"/>
        <w:shd w:val="clear" w:color="auto" w:fill="auto"/>
        <w:kinsoku/>
        <w:wordWrap/>
        <w:overflowPunct/>
        <w:topLinePunct w:val="0"/>
        <w:autoSpaceDE/>
        <w:autoSpaceDN/>
        <w:bidi w:val="0"/>
        <w:adjustRightInd/>
        <w:snapToGrid/>
        <w:spacing w:before="0" w:line="560" w:lineRule="exact"/>
        <w:ind w:left="0" w:right="0" w:firstLine="780"/>
        <w:jc w:val="left"/>
        <w:textAlignment w:val="auto"/>
        <w:rPr>
          <w:rFonts w:hint="eastAsia" w:ascii="仿宋_GB2312" w:hAnsi="仿宋_GB2312" w:eastAsia="仿宋_GB2312" w:cs="仿宋_GB2312"/>
          <w:color w:val="000000"/>
          <w:spacing w:val="0"/>
          <w:w w:val="100"/>
          <w:position w:val="0"/>
          <w:sz w:val="32"/>
          <w:szCs w:val="32"/>
        </w:rPr>
      </w:pPr>
      <w:r>
        <w:rPr>
          <w:rFonts w:hint="eastAsia" w:ascii="仿宋_GB2312" w:hAnsi="仿宋_GB2312" w:eastAsia="仿宋_GB2312" w:cs="仿宋_GB2312"/>
          <w:color w:val="000000"/>
          <w:spacing w:val="0"/>
          <w:w w:val="100"/>
          <w:position w:val="0"/>
          <w:sz w:val="32"/>
          <w:szCs w:val="32"/>
        </w:rPr>
        <w:t>活动简介：包括BEYOND科技创新大奖(BEYOND Technology Awards)和BEYOND 科技影响力大奖(BEYOND Impact Awards)。</w:t>
      </w:r>
    </w:p>
    <w:p>
      <w:pPr>
        <w:pStyle w:val="4"/>
        <w:keepNext w:val="0"/>
        <w:keepLines w:val="0"/>
        <w:pageBreakBefore w:val="0"/>
        <w:widowControl w:val="0"/>
        <w:shd w:val="clear" w:color="auto" w:fill="auto"/>
        <w:kinsoku/>
        <w:wordWrap/>
        <w:overflowPunct/>
        <w:topLinePunct w:val="0"/>
        <w:autoSpaceDE/>
        <w:autoSpaceDN/>
        <w:bidi w:val="0"/>
        <w:adjustRightInd/>
        <w:snapToGrid/>
        <w:spacing w:before="0" w:line="560" w:lineRule="exact"/>
        <w:ind w:left="0" w:right="0" w:firstLine="780"/>
        <w:jc w:val="left"/>
        <w:textAlignment w:val="auto"/>
        <w:rPr>
          <w:rFonts w:hint="eastAsia" w:ascii="仿宋_GB2312" w:hAnsi="仿宋_GB2312" w:eastAsia="仿宋_GB2312" w:cs="仿宋_GB2312"/>
          <w:color w:val="000000"/>
          <w:spacing w:val="0"/>
          <w:w w:val="100"/>
          <w:position w:val="0"/>
          <w:sz w:val="32"/>
          <w:szCs w:val="32"/>
        </w:rPr>
      </w:pPr>
      <w:r>
        <w:rPr>
          <w:rFonts w:hint="eastAsia" w:ascii="仿宋_GB2312" w:hAnsi="仿宋_GB2312" w:eastAsia="仿宋_GB2312" w:cs="仿宋_GB2312"/>
          <w:color w:val="000000"/>
          <w:spacing w:val="0"/>
          <w:w w:val="100"/>
          <w:position w:val="0"/>
          <w:sz w:val="32"/>
          <w:szCs w:val="32"/>
        </w:rPr>
        <w:t>针对对象：全球致力于引领未来趋势和行业变革的科技型</w:t>
      </w:r>
    </w:p>
    <w:p>
      <w:pPr>
        <w:pStyle w:val="4"/>
        <w:keepNext w:val="0"/>
        <w:keepLines w:val="0"/>
        <w:pageBreakBefore w:val="0"/>
        <w:widowControl w:val="0"/>
        <w:shd w:val="clear" w:color="auto" w:fill="auto"/>
        <w:kinsoku/>
        <w:wordWrap/>
        <w:overflowPunct/>
        <w:topLinePunct w:val="0"/>
        <w:autoSpaceDE/>
        <w:autoSpaceDN/>
        <w:bidi w:val="0"/>
        <w:adjustRightInd/>
        <w:snapToGrid/>
        <w:spacing w:before="0" w:line="560" w:lineRule="exact"/>
        <w:ind w:left="0" w:right="0" w:firstLine="780"/>
        <w:jc w:val="left"/>
        <w:textAlignment w:val="auto"/>
        <w:rPr>
          <w:rFonts w:hint="eastAsia" w:ascii="仿宋_GB2312" w:hAnsi="仿宋_GB2312" w:eastAsia="仿宋_GB2312" w:cs="仿宋_GB2312"/>
          <w:color w:val="000000"/>
          <w:spacing w:val="0"/>
          <w:w w:val="100"/>
          <w:position w:val="0"/>
          <w:sz w:val="32"/>
          <w:szCs w:val="32"/>
        </w:rPr>
      </w:pPr>
      <w:r>
        <w:rPr>
          <w:rFonts w:hint="eastAsia" w:ascii="仿宋_GB2312" w:hAnsi="仿宋_GB2312" w:eastAsia="仿宋_GB2312" w:cs="仿宋_GB2312"/>
          <w:color w:val="000000"/>
          <w:spacing w:val="0"/>
          <w:w w:val="100"/>
          <w:position w:val="0"/>
          <w:sz w:val="32"/>
          <w:szCs w:val="32"/>
        </w:rPr>
        <w:t>创新企业。</w:t>
      </w:r>
    </w:p>
    <w:p>
      <w:pPr>
        <w:pStyle w:val="4"/>
        <w:keepNext w:val="0"/>
        <w:keepLines w:val="0"/>
        <w:pageBreakBefore w:val="0"/>
        <w:widowControl w:val="0"/>
        <w:shd w:val="clear" w:color="auto" w:fill="auto"/>
        <w:kinsoku/>
        <w:wordWrap/>
        <w:overflowPunct/>
        <w:topLinePunct w:val="0"/>
        <w:autoSpaceDE/>
        <w:autoSpaceDN/>
        <w:bidi w:val="0"/>
        <w:adjustRightInd/>
        <w:snapToGrid/>
        <w:spacing w:before="0" w:line="560" w:lineRule="exact"/>
        <w:ind w:left="0" w:right="0" w:firstLine="780"/>
        <w:jc w:val="left"/>
        <w:textAlignment w:val="auto"/>
        <w:rPr>
          <w:rFonts w:hint="eastAsia" w:ascii="仿宋_GB2312" w:hAnsi="仿宋_GB2312" w:eastAsia="仿宋_GB2312" w:cs="仿宋_GB2312"/>
          <w:color w:val="000000"/>
          <w:spacing w:val="0"/>
          <w:w w:val="100"/>
          <w:position w:val="0"/>
          <w:sz w:val="32"/>
          <w:szCs w:val="32"/>
        </w:rPr>
      </w:pPr>
    </w:p>
    <w:p>
      <w:pPr>
        <w:pStyle w:val="4"/>
        <w:keepNext w:val="0"/>
        <w:keepLines w:val="0"/>
        <w:pageBreakBefore w:val="0"/>
        <w:widowControl w:val="0"/>
        <w:shd w:val="clear" w:color="auto" w:fill="auto"/>
        <w:kinsoku/>
        <w:wordWrap/>
        <w:overflowPunct/>
        <w:topLinePunct w:val="0"/>
        <w:autoSpaceDE/>
        <w:autoSpaceDN/>
        <w:bidi w:val="0"/>
        <w:adjustRightInd/>
        <w:snapToGrid/>
        <w:spacing w:before="0" w:line="560" w:lineRule="exact"/>
        <w:ind w:left="0" w:right="0" w:firstLine="780"/>
        <w:jc w:val="left"/>
        <w:textAlignment w:val="auto"/>
        <w:rPr>
          <w:rFonts w:hint="eastAsia" w:ascii="仿宋_GB2312" w:hAnsi="仿宋_GB2312" w:eastAsia="仿宋_GB2312" w:cs="仿宋_GB2312"/>
          <w:color w:val="000000"/>
          <w:spacing w:val="0"/>
          <w:w w:val="100"/>
          <w:position w:val="0"/>
          <w:sz w:val="32"/>
          <w:szCs w:val="32"/>
        </w:rPr>
      </w:pPr>
    </w:p>
    <w:p>
      <w:pPr>
        <w:pStyle w:val="4"/>
        <w:keepNext w:val="0"/>
        <w:keepLines w:val="0"/>
        <w:pageBreakBefore w:val="0"/>
        <w:widowControl w:val="0"/>
        <w:shd w:val="clear" w:color="auto" w:fill="auto"/>
        <w:kinsoku/>
        <w:wordWrap/>
        <w:overflowPunct/>
        <w:topLinePunct w:val="0"/>
        <w:autoSpaceDE/>
        <w:autoSpaceDN/>
        <w:bidi w:val="0"/>
        <w:adjustRightInd/>
        <w:snapToGrid/>
        <w:spacing w:before="0" w:line="560" w:lineRule="exact"/>
        <w:ind w:left="0" w:right="0" w:firstLine="780"/>
        <w:jc w:val="left"/>
        <w:textAlignment w:val="auto"/>
        <w:rPr>
          <w:rFonts w:hint="eastAsia" w:ascii="仿宋_GB2312" w:hAnsi="仿宋_GB2312" w:eastAsia="仿宋_GB2312" w:cs="仿宋_GB2312"/>
          <w:color w:val="000000"/>
          <w:spacing w:val="0"/>
          <w:w w:val="100"/>
          <w:position w:val="0"/>
          <w:sz w:val="32"/>
          <w:szCs w:val="32"/>
        </w:rPr>
      </w:pPr>
    </w:p>
    <w:p>
      <w:pPr>
        <w:pStyle w:val="4"/>
        <w:keepNext w:val="0"/>
        <w:keepLines w:val="0"/>
        <w:pageBreakBefore w:val="0"/>
        <w:widowControl w:val="0"/>
        <w:shd w:val="clear" w:color="auto" w:fill="auto"/>
        <w:kinsoku/>
        <w:wordWrap/>
        <w:overflowPunct/>
        <w:topLinePunct w:val="0"/>
        <w:autoSpaceDE/>
        <w:autoSpaceDN/>
        <w:bidi w:val="0"/>
        <w:adjustRightInd/>
        <w:snapToGrid/>
        <w:spacing w:before="0" w:line="560" w:lineRule="exact"/>
        <w:ind w:left="0" w:right="0" w:firstLine="780"/>
        <w:jc w:val="left"/>
        <w:textAlignment w:val="auto"/>
        <w:rPr>
          <w:color w:val="000000"/>
          <w:spacing w:val="0"/>
          <w:w w:val="100"/>
          <w:position w:val="0"/>
          <w:sz w:val="32"/>
          <w:szCs w:val="32"/>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9838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Body text|1"/>
    <w:basedOn w:val="1"/>
    <w:qFormat/>
    <w:uiPriority w:val="0"/>
    <w:pPr>
      <w:widowControl w:val="0"/>
      <w:shd w:val="clear" w:color="auto" w:fill="auto"/>
      <w:spacing w:line="422" w:lineRule="auto"/>
      <w:ind w:firstLine="400"/>
    </w:pPr>
    <w:rPr>
      <w:rFonts w:ascii="宋体" w:hAnsi="宋体" w:eastAsia="宋体" w:cs="宋体"/>
      <w:sz w:val="30"/>
      <w:szCs w:val="30"/>
      <w:u w:val="none"/>
      <w:shd w:val="clear" w:color="auto" w:fill="auto"/>
      <w:lang w:val="zh-TW" w:eastAsia="zh-TW" w:bidi="zh-T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dc:creator>
  <cp:lastModifiedBy>覃胜琳</cp:lastModifiedBy>
  <dcterms:modified xsi:type="dcterms:W3CDTF">2021-07-28T07:14:07Z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AF1BFAB66C5B40AC89AE4F589FA7BA7E</vt:lpwstr>
  </property>
</Properties>
</file>